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>Советы психолога для родителей подростков, оказавшихся дома во время карантина из-за коронавируса</w:t>
      </w:r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еготревоги,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блогеры,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>Рекомендации подготовлены С.В. Воликовой,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 w:rsidSect="0055424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2F775E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54249"/>
    <w:rsid w:val="00561FF6"/>
    <w:rsid w:val="005822A1"/>
    <w:rsid w:val="005967C6"/>
    <w:rsid w:val="005F2FB2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7049E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Учитель</cp:lastModifiedBy>
  <cp:revision>3</cp:revision>
  <cp:lastPrinted>2020-04-08T02:26:00Z</cp:lastPrinted>
  <dcterms:created xsi:type="dcterms:W3CDTF">2020-04-05T23:35:00Z</dcterms:created>
  <dcterms:modified xsi:type="dcterms:W3CDTF">2020-04-08T02:26:00Z</dcterms:modified>
</cp:coreProperties>
</file>